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CE8" w:rsidRPr="00B41CE8" w:rsidRDefault="00B41CE8" w:rsidP="00B41CE8">
      <w:pPr>
        <w:spacing w:line="240" w:lineRule="exact"/>
        <w:rPr>
          <w:b/>
          <w:sz w:val="28"/>
          <w:szCs w:val="28"/>
        </w:rPr>
      </w:pPr>
      <w:r>
        <w:rPr>
          <w:b/>
          <w:noProof/>
          <w:sz w:val="16"/>
          <w:szCs w:val="16"/>
          <w:lang w:eastAsia="de-DE"/>
        </w:rPr>
        <w:drawing>
          <wp:anchor distT="0" distB="0" distL="114300" distR="114300" simplePos="0" relativeHeight="251657728" behindDoc="0" locked="0" layoutInCell="1" allowOverlap="1" wp14:anchorId="6AB4A536" wp14:editId="2F32FC9C">
            <wp:simplePos x="0" y="0"/>
            <wp:positionH relativeFrom="column">
              <wp:posOffset>4529455</wp:posOffset>
            </wp:positionH>
            <wp:positionV relativeFrom="paragraph">
              <wp:posOffset>-603885</wp:posOffset>
            </wp:positionV>
            <wp:extent cx="1819910" cy="725196"/>
            <wp:effectExtent l="0" t="0" r="889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KSV niedrige Auflösung (1024).jpg"/>
                    <pic:cNvPicPr/>
                  </pic:nvPicPr>
                  <pic:blipFill>
                    <a:blip r:embed="rId7">
                      <a:extLst>
                        <a:ext uri="{28A0092B-C50C-407E-A947-70E740481C1C}">
                          <a14:useLocalDpi xmlns:a14="http://schemas.microsoft.com/office/drawing/2010/main" val="0"/>
                        </a:ext>
                      </a:extLst>
                    </a:blip>
                    <a:stretch>
                      <a:fillRect/>
                    </a:stretch>
                  </pic:blipFill>
                  <pic:spPr>
                    <a:xfrm>
                      <a:off x="0" y="0"/>
                      <a:ext cx="1819910" cy="725196"/>
                    </a:xfrm>
                    <a:prstGeom prst="rect">
                      <a:avLst/>
                    </a:prstGeom>
                  </pic:spPr>
                </pic:pic>
              </a:graphicData>
            </a:graphic>
            <wp14:sizeRelH relativeFrom="page">
              <wp14:pctWidth>0</wp14:pctWidth>
            </wp14:sizeRelH>
            <wp14:sizeRelV relativeFrom="page">
              <wp14:pctHeight>0</wp14:pctHeight>
            </wp14:sizeRelV>
          </wp:anchor>
        </w:drawing>
      </w:r>
      <w:r w:rsidRPr="00B41CE8">
        <w:rPr>
          <w:b/>
          <w:sz w:val="28"/>
          <w:szCs w:val="28"/>
        </w:rPr>
        <w:t>Mustervorlage</w:t>
      </w:r>
    </w:p>
    <w:p w:rsidR="00B41CE8" w:rsidRPr="00B41CE8" w:rsidRDefault="00B41CE8" w:rsidP="00B41CE8">
      <w:pPr>
        <w:spacing w:line="240" w:lineRule="exact"/>
        <w:rPr>
          <w:b/>
          <w:sz w:val="28"/>
          <w:szCs w:val="28"/>
        </w:rPr>
      </w:pPr>
    </w:p>
    <w:p w:rsidR="00B41CE8" w:rsidRDefault="00B41CE8" w:rsidP="00B41CE8">
      <w:pPr>
        <w:spacing w:line="240" w:lineRule="exact"/>
        <w:rPr>
          <w:b/>
          <w:sz w:val="16"/>
          <w:szCs w:val="16"/>
        </w:rPr>
      </w:pPr>
    </w:p>
    <w:p w:rsidR="00B41CE8" w:rsidRPr="000453A8" w:rsidRDefault="00B41CE8" w:rsidP="00B41CE8">
      <w:pPr>
        <w:spacing w:line="240" w:lineRule="exact"/>
        <w:rPr>
          <w:b/>
          <w:sz w:val="16"/>
          <w:szCs w:val="16"/>
        </w:rPr>
      </w:pPr>
      <w:r w:rsidRPr="000453A8">
        <w:rPr>
          <w:b/>
          <w:sz w:val="16"/>
          <w:szCs w:val="16"/>
        </w:rPr>
        <w:t>Hinweise:</w:t>
      </w:r>
      <w:r w:rsidRPr="000453A8">
        <w:rPr>
          <w:noProof/>
          <w:sz w:val="16"/>
          <w:szCs w:val="16"/>
          <w:lang w:eastAsia="de-DE"/>
        </w:rPr>
        <w:t xml:space="preserve"> </w:t>
      </w:r>
    </w:p>
    <w:p w:rsidR="00B41CE8" w:rsidRPr="00AD254C" w:rsidRDefault="00B41CE8" w:rsidP="00B41CE8">
      <w:pPr>
        <w:numPr>
          <w:ilvl w:val="0"/>
          <w:numId w:val="1"/>
        </w:numPr>
        <w:spacing w:line="240" w:lineRule="exact"/>
        <w:ind w:left="261" w:hanging="284"/>
        <w:rPr>
          <w:color w:val="000000" w:themeColor="text1"/>
          <w:sz w:val="16"/>
          <w:szCs w:val="16"/>
        </w:rPr>
      </w:pPr>
      <w:r w:rsidRPr="00AD254C">
        <w:rPr>
          <w:color w:val="000000" w:themeColor="text1"/>
          <w:sz w:val="16"/>
          <w:szCs w:val="16"/>
        </w:rPr>
        <w:t>Nach Art. 32 Abs. 1 DSGVO ist jeder Verein verpflichtet, unter Berücksichtigung der unterschiedlichen Eintrittswahrscheinlichkeit und Schwere des Risikos für die Rechte und Freiheiten natürlicher Personen bei einer Verletzung des datenschutzrechts geeignete technische und organisatorische Maßnahmen zu treffen, um ein dem Risiko angemessenes Schutzniveau zu gewährleisten. Dabei hat der Verein den Stand der Technik, die Kosten für die Umsetzung der Schutzmaßnahmen und der Art, des Umfangs, der Umstände und der Zwecke der Verarbeitung zu berücksichtigen.</w:t>
      </w:r>
    </w:p>
    <w:p w:rsidR="00B41CE8" w:rsidRPr="00AD254C" w:rsidRDefault="00B41CE8" w:rsidP="00B41CE8">
      <w:pPr>
        <w:numPr>
          <w:ilvl w:val="0"/>
          <w:numId w:val="1"/>
        </w:numPr>
        <w:spacing w:line="240" w:lineRule="exact"/>
        <w:ind w:left="261" w:hanging="284"/>
        <w:rPr>
          <w:color w:val="000000" w:themeColor="text1"/>
          <w:sz w:val="16"/>
          <w:szCs w:val="16"/>
        </w:rPr>
      </w:pPr>
      <w:r w:rsidRPr="00AD254C">
        <w:rPr>
          <w:color w:val="000000" w:themeColor="text1"/>
          <w:sz w:val="16"/>
          <w:szCs w:val="16"/>
        </w:rPr>
        <w:t>Die Ermittlung des angemessenen Schutzniveaus setzt voraus, dass zuerst das Risiko bei einer Datenschutzverletzung für die einzelnen personenbezogenen Daten ermittelt wird (Risikoanalyse). Danach kann dann entsprechend der ermittelten Risikokategorie das angemessene Schutzniveau festgelegt werden.</w:t>
      </w:r>
    </w:p>
    <w:p w:rsidR="00B41CE8" w:rsidRPr="000453A8" w:rsidRDefault="00B41CE8" w:rsidP="00B41CE8">
      <w:pPr>
        <w:numPr>
          <w:ilvl w:val="0"/>
          <w:numId w:val="1"/>
        </w:numPr>
        <w:spacing w:line="240" w:lineRule="exact"/>
        <w:ind w:left="256" w:hanging="256"/>
        <w:rPr>
          <w:sz w:val="16"/>
          <w:szCs w:val="16"/>
        </w:rPr>
      </w:pPr>
      <w:r>
        <w:rPr>
          <w:sz w:val="16"/>
          <w:szCs w:val="16"/>
        </w:rPr>
        <w:t xml:space="preserve">In Anlehnung an Quelle: </w:t>
      </w:r>
      <w:r w:rsidRPr="00751E44">
        <w:rPr>
          <w:sz w:val="16"/>
          <w:szCs w:val="16"/>
        </w:rPr>
        <w:t>https://www.bvdnet.de/wp-content/uploads/2017/06/Muster_Verz_der_Verarbeitungst%C3%A4tigkeiten_TOMs.pdf</w:t>
      </w:r>
      <w:r w:rsidRPr="000453A8">
        <w:rPr>
          <w:sz w:val="16"/>
          <w:szCs w:val="16"/>
        </w:rPr>
        <w:br/>
      </w:r>
    </w:p>
    <w:p w:rsidR="00D21DEF" w:rsidRDefault="00B41CE8" w:rsidP="00B41CE8">
      <w:pPr>
        <w:tabs>
          <w:tab w:val="left" w:pos="993"/>
        </w:tabs>
        <w:rPr>
          <w:i/>
          <w:sz w:val="16"/>
        </w:rPr>
      </w:pPr>
      <w:r w:rsidRPr="000453A8">
        <w:rPr>
          <w:b/>
          <w:sz w:val="16"/>
          <w:szCs w:val="16"/>
        </w:rPr>
        <w:t xml:space="preserve">Stand: </w:t>
      </w:r>
      <w:r>
        <w:rPr>
          <w:b/>
          <w:sz w:val="16"/>
        </w:rPr>
        <w:t>29.03.2018</w:t>
      </w:r>
      <w:r w:rsidRPr="000453A8">
        <w:rPr>
          <w:b/>
          <w:sz w:val="16"/>
        </w:rPr>
        <w:t xml:space="preserve"> - </w:t>
      </w:r>
      <w:r w:rsidRPr="000453A8">
        <w:rPr>
          <w:i/>
          <w:sz w:val="16"/>
        </w:rPr>
        <w:t>Für die in diesem Dokument gemachten Ausführungen und Hinweise kann aufgrund stetiger Änderungen bei der Rechtsprechung keine Haftung übernommen werden.</w:t>
      </w:r>
    </w:p>
    <w:p w:rsidR="00B41CE8" w:rsidRDefault="00B41CE8" w:rsidP="00B41CE8">
      <w:pPr>
        <w:tabs>
          <w:tab w:val="left" w:pos="993"/>
        </w:tabs>
        <w:rPr>
          <w:b/>
          <w:sz w:val="28"/>
        </w:rPr>
      </w:pPr>
      <w:bookmarkStart w:id="0" w:name="_GoBack"/>
      <w:bookmarkEnd w:id="0"/>
    </w:p>
    <w:p w:rsidR="00751E44" w:rsidRPr="00751E44" w:rsidRDefault="00751E44" w:rsidP="00751E44">
      <w:pPr>
        <w:tabs>
          <w:tab w:val="left" w:pos="993"/>
        </w:tabs>
        <w:rPr>
          <w:b/>
          <w:sz w:val="28"/>
        </w:rPr>
      </w:pPr>
      <w:r w:rsidRPr="00751E44">
        <w:rPr>
          <w:b/>
          <w:sz w:val="28"/>
        </w:rPr>
        <w:t>Technische und organisatorische Maßnahmen</w:t>
      </w:r>
    </w:p>
    <w:p w:rsidR="00751E44" w:rsidRPr="00751E44" w:rsidRDefault="00751E44" w:rsidP="00751E44">
      <w:pPr>
        <w:tabs>
          <w:tab w:val="left" w:pos="993"/>
        </w:tabs>
        <w:rPr>
          <w:b/>
          <w:sz w:val="22"/>
        </w:rPr>
      </w:pPr>
      <w:r w:rsidRPr="00751E44">
        <w:rPr>
          <w:b/>
          <w:sz w:val="22"/>
        </w:rPr>
        <w:t>gem. Art. 32 Abs. 1 DSGVO für Verantwortliche (Art. 30 Abs. 1 lit. g)</w:t>
      </w:r>
    </w:p>
    <w:p w:rsidR="00674BEA" w:rsidRPr="00751E44" w:rsidRDefault="00751E44" w:rsidP="00751E44">
      <w:pPr>
        <w:tabs>
          <w:tab w:val="left" w:pos="993"/>
        </w:tabs>
        <w:rPr>
          <w:b/>
          <w:sz w:val="22"/>
        </w:rPr>
      </w:pPr>
      <w:r w:rsidRPr="00751E44">
        <w:rPr>
          <w:b/>
          <w:sz w:val="22"/>
        </w:rPr>
        <w:t>und Auftragsverarbeiter (Art. 30 Abs. 2 lit. d)</w:t>
      </w:r>
    </w:p>
    <w:p w:rsidR="00751E44" w:rsidRDefault="00674BEA" w:rsidP="00751E44">
      <w:pPr>
        <w:tabs>
          <w:tab w:val="left" w:pos="851"/>
        </w:tabs>
      </w:pPr>
      <w:r w:rsidRPr="00674BEA">
        <w:rPr>
          <w:b/>
          <w:sz w:val="18"/>
          <w:szCs w:val="18"/>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103"/>
      </w:tblGrid>
      <w:tr w:rsidR="00751E44" w:rsidRPr="00DE3AE9" w:rsidTr="00AF44E2">
        <w:tc>
          <w:tcPr>
            <w:tcW w:w="9103" w:type="dxa"/>
            <w:tcBorders>
              <w:bottom w:val="nil"/>
            </w:tcBorders>
            <w:shd w:val="clear" w:color="auto" w:fill="auto"/>
          </w:tcPr>
          <w:p w:rsidR="00751E44" w:rsidRPr="00DE3AE9" w:rsidRDefault="00751E44" w:rsidP="00AF44E2">
            <w:pPr>
              <w:spacing w:line="240" w:lineRule="auto"/>
              <w:rPr>
                <w:b/>
                <w:color w:val="7F7F7F"/>
                <w:sz w:val="12"/>
              </w:rPr>
            </w:pPr>
            <w:r w:rsidRPr="00751E44">
              <w:rPr>
                <w:b/>
                <w:color w:val="7F7F7F"/>
                <w:sz w:val="12"/>
              </w:rPr>
              <w:t>1. Pseudonymisierung</w:t>
            </w:r>
          </w:p>
        </w:tc>
      </w:tr>
      <w:tr w:rsidR="00751E44" w:rsidTr="00B41CE8">
        <w:trPr>
          <w:trHeight w:val="135"/>
        </w:trPr>
        <w:tc>
          <w:tcPr>
            <w:tcW w:w="9103" w:type="dxa"/>
            <w:tcBorders>
              <w:top w:val="nil"/>
              <w:bottom w:val="single" w:sz="4" w:space="0" w:color="auto"/>
            </w:tcBorders>
            <w:shd w:val="clear" w:color="auto" w:fill="auto"/>
          </w:tcPr>
          <w:p w:rsidR="00751E44" w:rsidRDefault="00751E44" w:rsidP="00AF44E2">
            <w:pPr>
              <w:spacing w:line="240" w:lineRule="auto"/>
            </w:pPr>
          </w:p>
        </w:tc>
      </w:tr>
      <w:tr w:rsidR="00751E44" w:rsidRPr="00DE3AE9" w:rsidTr="00AF44E2">
        <w:tc>
          <w:tcPr>
            <w:tcW w:w="9103" w:type="dxa"/>
            <w:tcBorders>
              <w:bottom w:val="nil"/>
            </w:tcBorders>
            <w:shd w:val="clear" w:color="auto" w:fill="auto"/>
          </w:tcPr>
          <w:p w:rsidR="00751E44" w:rsidRPr="00DE3AE9" w:rsidRDefault="00751E44" w:rsidP="00AF44E2">
            <w:pPr>
              <w:spacing w:line="240" w:lineRule="auto"/>
              <w:rPr>
                <w:b/>
                <w:color w:val="7F7F7F"/>
                <w:sz w:val="12"/>
                <w:szCs w:val="12"/>
              </w:rPr>
            </w:pPr>
            <w:r w:rsidRPr="00751E44">
              <w:rPr>
                <w:b/>
                <w:color w:val="7F7F7F"/>
                <w:sz w:val="12"/>
                <w:szCs w:val="12"/>
              </w:rPr>
              <w:t>2. Verschlüsselung</w:t>
            </w:r>
          </w:p>
        </w:tc>
      </w:tr>
      <w:tr w:rsidR="00751E44" w:rsidTr="00AF44E2">
        <w:tc>
          <w:tcPr>
            <w:tcW w:w="9103" w:type="dxa"/>
            <w:tcBorders>
              <w:top w:val="nil"/>
              <w:bottom w:val="single" w:sz="4" w:space="0" w:color="auto"/>
            </w:tcBorders>
            <w:shd w:val="clear" w:color="auto" w:fill="auto"/>
          </w:tcPr>
          <w:p w:rsidR="00751E44" w:rsidRDefault="00751E44" w:rsidP="00AF44E2">
            <w:pPr>
              <w:spacing w:line="240" w:lineRule="auto"/>
            </w:pPr>
          </w:p>
        </w:tc>
      </w:tr>
      <w:tr w:rsidR="00751E44" w:rsidRPr="00DE3AE9" w:rsidTr="00AF44E2">
        <w:tc>
          <w:tcPr>
            <w:tcW w:w="9103" w:type="dxa"/>
            <w:tcBorders>
              <w:bottom w:val="nil"/>
            </w:tcBorders>
            <w:shd w:val="clear" w:color="auto" w:fill="auto"/>
          </w:tcPr>
          <w:p w:rsidR="00751E44" w:rsidRPr="00DE3AE9" w:rsidRDefault="00751E44" w:rsidP="00AF44E2">
            <w:pPr>
              <w:spacing w:line="240" w:lineRule="auto"/>
              <w:rPr>
                <w:b/>
                <w:color w:val="7F7F7F"/>
                <w:sz w:val="12"/>
                <w:szCs w:val="12"/>
              </w:rPr>
            </w:pPr>
            <w:r w:rsidRPr="00751E44">
              <w:rPr>
                <w:b/>
                <w:color w:val="7F7F7F"/>
                <w:sz w:val="12"/>
                <w:szCs w:val="12"/>
              </w:rPr>
              <w:t>3. Gewährleistung der Vertraulichkeit</w:t>
            </w:r>
          </w:p>
        </w:tc>
      </w:tr>
      <w:tr w:rsidR="00751E44" w:rsidTr="00AF44E2">
        <w:tc>
          <w:tcPr>
            <w:tcW w:w="9103" w:type="dxa"/>
            <w:tcBorders>
              <w:top w:val="nil"/>
              <w:bottom w:val="single" w:sz="4" w:space="0" w:color="auto"/>
            </w:tcBorders>
            <w:shd w:val="clear" w:color="auto" w:fill="auto"/>
          </w:tcPr>
          <w:p w:rsidR="00751E44" w:rsidRDefault="00751E44" w:rsidP="00AF44E2">
            <w:pPr>
              <w:spacing w:line="240" w:lineRule="auto"/>
            </w:pPr>
          </w:p>
        </w:tc>
      </w:tr>
      <w:tr w:rsidR="00751E44" w:rsidRPr="00DE3AE9" w:rsidTr="00AF44E2">
        <w:tc>
          <w:tcPr>
            <w:tcW w:w="9103" w:type="dxa"/>
            <w:tcBorders>
              <w:bottom w:val="nil"/>
            </w:tcBorders>
            <w:shd w:val="clear" w:color="auto" w:fill="auto"/>
          </w:tcPr>
          <w:p w:rsidR="00751E44" w:rsidRPr="00DE3AE9" w:rsidRDefault="00751E44" w:rsidP="00AF44E2">
            <w:pPr>
              <w:spacing w:line="240" w:lineRule="auto"/>
              <w:rPr>
                <w:b/>
                <w:color w:val="7F7F7F"/>
                <w:sz w:val="12"/>
                <w:szCs w:val="12"/>
              </w:rPr>
            </w:pPr>
            <w:r w:rsidRPr="00751E44">
              <w:rPr>
                <w:b/>
                <w:color w:val="7F7F7F"/>
                <w:sz w:val="12"/>
                <w:szCs w:val="12"/>
              </w:rPr>
              <w:t>4. Gewährleistung der Integrität</w:t>
            </w:r>
          </w:p>
        </w:tc>
      </w:tr>
      <w:tr w:rsidR="00751E44" w:rsidTr="00AF44E2">
        <w:tc>
          <w:tcPr>
            <w:tcW w:w="9103" w:type="dxa"/>
            <w:tcBorders>
              <w:top w:val="nil"/>
              <w:bottom w:val="single" w:sz="4" w:space="0" w:color="auto"/>
            </w:tcBorders>
            <w:shd w:val="clear" w:color="auto" w:fill="auto"/>
          </w:tcPr>
          <w:p w:rsidR="00751E44" w:rsidRDefault="00751E44" w:rsidP="00AF44E2">
            <w:pPr>
              <w:spacing w:line="240" w:lineRule="auto"/>
            </w:pPr>
          </w:p>
        </w:tc>
      </w:tr>
      <w:tr w:rsidR="00751E44" w:rsidRPr="00DE3AE9" w:rsidTr="00AF44E2">
        <w:tc>
          <w:tcPr>
            <w:tcW w:w="9103" w:type="dxa"/>
            <w:tcBorders>
              <w:bottom w:val="nil"/>
            </w:tcBorders>
            <w:shd w:val="clear" w:color="auto" w:fill="auto"/>
          </w:tcPr>
          <w:p w:rsidR="00751E44" w:rsidRPr="00DE3AE9" w:rsidRDefault="00751E44" w:rsidP="00AF44E2">
            <w:pPr>
              <w:spacing w:line="240" w:lineRule="auto"/>
              <w:rPr>
                <w:b/>
                <w:color w:val="7F7F7F"/>
                <w:sz w:val="12"/>
                <w:szCs w:val="12"/>
              </w:rPr>
            </w:pPr>
            <w:r w:rsidRPr="00751E44">
              <w:rPr>
                <w:b/>
                <w:color w:val="7F7F7F"/>
                <w:sz w:val="12"/>
                <w:szCs w:val="12"/>
              </w:rPr>
              <w:t>5. Gewährleistung der Verfügbarkeit</w:t>
            </w:r>
          </w:p>
        </w:tc>
      </w:tr>
      <w:tr w:rsidR="00751E44" w:rsidTr="00AF44E2">
        <w:tc>
          <w:tcPr>
            <w:tcW w:w="9103" w:type="dxa"/>
            <w:tcBorders>
              <w:top w:val="nil"/>
              <w:bottom w:val="single" w:sz="4" w:space="0" w:color="auto"/>
            </w:tcBorders>
            <w:shd w:val="clear" w:color="auto" w:fill="auto"/>
          </w:tcPr>
          <w:p w:rsidR="00751E44" w:rsidRDefault="00751E44" w:rsidP="00751E44">
            <w:pPr>
              <w:spacing w:line="240" w:lineRule="auto"/>
            </w:pPr>
          </w:p>
        </w:tc>
      </w:tr>
      <w:tr w:rsidR="00751E44" w:rsidRPr="00DE3AE9" w:rsidTr="00AF44E2">
        <w:tc>
          <w:tcPr>
            <w:tcW w:w="9103" w:type="dxa"/>
            <w:tcBorders>
              <w:bottom w:val="nil"/>
            </w:tcBorders>
            <w:shd w:val="clear" w:color="auto" w:fill="auto"/>
          </w:tcPr>
          <w:p w:rsidR="00751E44" w:rsidRPr="00DE3AE9" w:rsidRDefault="00751E44" w:rsidP="00AF44E2">
            <w:pPr>
              <w:spacing w:line="240" w:lineRule="auto"/>
              <w:rPr>
                <w:b/>
                <w:color w:val="7F7F7F"/>
                <w:sz w:val="12"/>
                <w:szCs w:val="12"/>
              </w:rPr>
            </w:pPr>
            <w:r w:rsidRPr="00751E44">
              <w:rPr>
                <w:b/>
                <w:color w:val="7F7F7F"/>
                <w:sz w:val="12"/>
                <w:szCs w:val="12"/>
              </w:rPr>
              <w:t>6. Gewährleistung der Belastbarkeit der Systeme</w:t>
            </w:r>
          </w:p>
        </w:tc>
      </w:tr>
      <w:tr w:rsidR="00751E44" w:rsidTr="00AF44E2">
        <w:tc>
          <w:tcPr>
            <w:tcW w:w="9103" w:type="dxa"/>
            <w:tcBorders>
              <w:top w:val="nil"/>
              <w:bottom w:val="single" w:sz="4" w:space="0" w:color="auto"/>
            </w:tcBorders>
            <w:shd w:val="clear" w:color="auto" w:fill="auto"/>
          </w:tcPr>
          <w:p w:rsidR="00751E44" w:rsidRDefault="00751E44" w:rsidP="00AF44E2">
            <w:pPr>
              <w:spacing w:line="240" w:lineRule="auto"/>
            </w:pPr>
          </w:p>
        </w:tc>
      </w:tr>
      <w:tr w:rsidR="00751E44" w:rsidRPr="00DE3AE9" w:rsidTr="00AF44E2">
        <w:tc>
          <w:tcPr>
            <w:tcW w:w="9103" w:type="dxa"/>
            <w:tcBorders>
              <w:bottom w:val="nil"/>
            </w:tcBorders>
            <w:shd w:val="clear" w:color="auto" w:fill="auto"/>
          </w:tcPr>
          <w:p w:rsidR="00751E44" w:rsidRPr="00DE3AE9" w:rsidRDefault="00751E44" w:rsidP="00AF44E2">
            <w:pPr>
              <w:spacing w:line="240" w:lineRule="auto"/>
              <w:rPr>
                <w:b/>
                <w:color w:val="7F7F7F"/>
                <w:sz w:val="12"/>
                <w:szCs w:val="12"/>
              </w:rPr>
            </w:pPr>
            <w:r w:rsidRPr="00751E44">
              <w:rPr>
                <w:b/>
                <w:color w:val="7F7F7F"/>
                <w:sz w:val="12"/>
                <w:szCs w:val="12"/>
              </w:rPr>
              <w:t>7. Verfahren zur Wiederherstellung der Verfügbarkeit personenbezogener Daten nach einem physischen oder technischen Zwischenfall</w:t>
            </w:r>
          </w:p>
        </w:tc>
      </w:tr>
      <w:tr w:rsidR="00751E44" w:rsidTr="00AF44E2">
        <w:tc>
          <w:tcPr>
            <w:tcW w:w="9103" w:type="dxa"/>
            <w:tcBorders>
              <w:top w:val="nil"/>
              <w:bottom w:val="single" w:sz="4" w:space="0" w:color="auto"/>
            </w:tcBorders>
            <w:shd w:val="clear" w:color="auto" w:fill="auto"/>
          </w:tcPr>
          <w:p w:rsidR="00751E44" w:rsidRDefault="00751E44" w:rsidP="00AF44E2">
            <w:pPr>
              <w:tabs>
                <w:tab w:val="left" w:pos="1672"/>
                <w:tab w:val="left" w:pos="1929"/>
              </w:tabs>
              <w:spacing w:line="240" w:lineRule="auto"/>
            </w:pPr>
          </w:p>
        </w:tc>
      </w:tr>
      <w:tr w:rsidR="00751E44" w:rsidRPr="00DE3AE9" w:rsidTr="00AF44E2">
        <w:tc>
          <w:tcPr>
            <w:tcW w:w="9103" w:type="dxa"/>
            <w:tcBorders>
              <w:bottom w:val="nil"/>
            </w:tcBorders>
            <w:shd w:val="clear" w:color="auto" w:fill="auto"/>
          </w:tcPr>
          <w:p w:rsidR="00751E44" w:rsidRPr="00DE3AE9" w:rsidRDefault="00751E44" w:rsidP="00AF44E2">
            <w:pPr>
              <w:tabs>
                <w:tab w:val="left" w:pos="1672"/>
                <w:tab w:val="left" w:pos="1929"/>
              </w:tabs>
              <w:spacing w:line="240" w:lineRule="auto"/>
              <w:rPr>
                <w:b/>
                <w:color w:val="7F7F7F"/>
                <w:sz w:val="12"/>
                <w:szCs w:val="12"/>
              </w:rPr>
            </w:pPr>
            <w:r w:rsidRPr="00751E44">
              <w:rPr>
                <w:b/>
                <w:color w:val="7F7F7F"/>
                <w:sz w:val="12"/>
                <w:szCs w:val="12"/>
              </w:rPr>
              <w:t>8. Verfahren regelmäßiger Überprüfung, Bewertung und Evaluierung der Wirksamkeit der technischen und organisatorischen Maßnahmen</w:t>
            </w:r>
          </w:p>
        </w:tc>
      </w:tr>
      <w:tr w:rsidR="00751E44" w:rsidTr="00AF44E2">
        <w:tc>
          <w:tcPr>
            <w:tcW w:w="9103" w:type="dxa"/>
            <w:tcBorders>
              <w:top w:val="nil"/>
              <w:bottom w:val="single" w:sz="4" w:space="0" w:color="auto"/>
            </w:tcBorders>
            <w:shd w:val="clear" w:color="auto" w:fill="auto"/>
          </w:tcPr>
          <w:p w:rsidR="00751E44" w:rsidRDefault="00751E44" w:rsidP="00AF44E2">
            <w:pPr>
              <w:tabs>
                <w:tab w:val="left" w:pos="1672"/>
                <w:tab w:val="left" w:pos="1929"/>
              </w:tabs>
              <w:spacing w:line="240" w:lineRule="auto"/>
            </w:pPr>
          </w:p>
        </w:tc>
      </w:tr>
      <w:tr w:rsidR="00751E44" w:rsidRPr="00DE3AE9" w:rsidTr="00AF44E2">
        <w:tc>
          <w:tcPr>
            <w:tcW w:w="9103" w:type="dxa"/>
            <w:tcBorders>
              <w:bottom w:val="nil"/>
            </w:tcBorders>
            <w:shd w:val="clear" w:color="auto" w:fill="auto"/>
          </w:tcPr>
          <w:p w:rsidR="00751E44" w:rsidRPr="00DE3AE9" w:rsidRDefault="00751E44" w:rsidP="00AF44E2">
            <w:pPr>
              <w:tabs>
                <w:tab w:val="left" w:pos="1672"/>
                <w:tab w:val="left" w:pos="1929"/>
              </w:tabs>
              <w:spacing w:line="240" w:lineRule="auto"/>
              <w:rPr>
                <w:b/>
                <w:color w:val="7F7F7F"/>
                <w:sz w:val="12"/>
                <w:szCs w:val="12"/>
              </w:rPr>
            </w:pPr>
            <w:r>
              <w:rPr>
                <w:b/>
                <w:color w:val="7F7F7F"/>
                <w:sz w:val="12"/>
                <w:szCs w:val="12"/>
              </w:rPr>
              <w:t>Nachweise</w:t>
            </w:r>
          </w:p>
        </w:tc>
      </w:tr>
      <w:tr w:rsidR="00751E44" w:rsidTr="00AF44E2">
        <w:tc>
          <w:tcPr>
            <w:tcW w:w="9103" w:type="dxa"/>
            <w:tcBorders>
              <w:top w:val="nil"/>
            </w:tcBorders>
            <w:shd w:val="clear" w:color="auto" w:fill="auto"/>
          </w:tcPr>
          <w:p w:rsidR="00EF612F" w:rsidRDefault="00751E44" w:rsidP="00AF44E2">
            <w:pPr>
              <w:tabs>
                <w:tab w:val="left" w:pos="1672"/>
                <w:tab w:val="left" w:pos="1929"/>
              </w:tabs>
              <w:spacing w:line="240" w:lineRule="auto"/>
            </w:pPr>
            <w:r w:rsidRPr="00751E44">
              <w:t>Es liegen schriftlich vor</w:t>
            </w:r>
          </w:p>
          <w:p w:rsidR="00EF612F" w:rsidRDefault="00751E44" w:rsidP="00EF612F">
            <w:pPr>
              <w:pStyle w:val="Listenabsatz"/>
              <w:numPr>
                <w:ilvl w:val="0"/>
                <w:numId w:val="4"/>
              </w:numPr>
              <w:tabs>
                <w:tab w:val="left" w:pos="1672"/>
                <w:tab w:val="left" w:pos="1929"/>
              </w:tabs>
              <w:spacing w:line="240" w:lineRule="auto"/>
            </w:pPr>
            <w:r w:rsidRPr="00751E44">
              <w:t xml:space="preserve">interne Verhaltensregeln </w:t>
            </w:r>
          </w:p>
          <w:p w:rsidR="00EF612F" w:rsidRDefault="00751E44" w:rsidP="00EF612F">
            <w:pPr>
              <w:pStyle w:val="Listenabsatz"/>
              <w:numPr>
                <w:ilvl w:val="0"/>
                <w:numId w:val="4"/>
              </w:numPr>
              <w:tabs>
                <w:tab w:val="left" w:pos="1672"/>
                <w:tab w:val="left" w:pos="1929"/>
              </w:tabs>
              <w:spacing w:line="240" w:lineRule="auto"/>
            </w:pPr>
            <w:r w:rsidRPr="00751E44">
              <w:t xml:space="preserve">Risikoanalyse </w:t>
            </w:r>
          </w:p>
          <w:p w:rsidR="00EF612F" w:rsidRDefault="00751E44" w:rsidP="00EF612F">
            <w:pPr>
              <w:pStyle w:val="Listenabsatz"/>
              <w:numPr>
                <w:ilvl w:val="0"/>
                <w:numId w:val="4"/>
              </w:numPr>
              <w:tabs>
                <w:tab w:val="left" w:pos="1672"/>
                <w:tab w:val="left" w:pos="1929"/>
              </w:tabs>
              <w:spacing w:line="240" w:lineRule="auto"/>
            </w:pPr>
            <w:r w:rsidRPr="00751E44">
              <w:t xml:space="preserve">allgemeine Datensicherheitsbeschreibung </w:t>
            </w:r>
          </w:p>
          <w:p w:rsidR="00EF612F" w:rsidRDefault="00751E44" w:rsidP="00EF612F">
            <w:pPr>
              <w:pStyle w:val="Listenabsatz"/>
              <w:numPr>
                <w:ilvl w:val="0"/>
                <w:numId w:val="4"/>
              </w:numPr>
              <w:tabs>
                <w:tab w:val="left" w:pos="1672"/>
                <w:tab w:val="left" w:pos="1929"/>
              </w:tabs>
              <w:spacing w:line="240" w:lineRule="auto"/>
            </w:pPr>
            <w:r w:rsidRPr="00751E44">
              <w:t xml:space="preserve">umfassendes Datensicherheitskonzept </w:t>
            </w:r>
          </w:p>
          <w:p w:rsidR="00EF612F" w:rsidRDefault="00751E44" w:rsidP="00EF612F">
            <w:pPr>
              <w:pStyle w:val="Listenabsatz"/>
              <w:numPr>
                <w:ilvl w:val="0"/>
                <w:numId w:val="4"/>
              </w:numPr>
              <w:tabs>
                <w:tab w:val="left" w:pos="1672"/>
                <w:tab w:val="left" w:pos="1929"/>
              </w:tabs>
              <w:spacing w:line="240" w:lineRule="auto"/>
            </w:pPr>
            <w:r w:rsidRPr="00751E44">
              <w:lastRenderedPageBreak/>
              <w:t xml:space="preserve">Wiederanlaufkonzept </w:t>
            </w:r>
          </w:p>
          <w:p w:rsidR="00EF612F" w:rsidRDefault="00751E44" w:rsidP="00EF612F">
            <w:pPr>
              <w:pStyle w:val="Listenabsatz"/>
              <w:numPr>
                <w:ilvl w:val="0"/>
                <w:numId w:val="4"/>
              </w:numPr>
              <w:tabs>
                <w:tab w:val="left" w:pos="1672"/>
                <w:tab w:val="left" w:pos="1929"/>
              </w:tabs>
              <w:spacing w:line="240" w:lineRule="auto"/>
            </w:pPr>
            <w:r w:rsidRPr="00751E44">
              <w:t xml:space="preserve">Zertifikat: </w:t>
            </w:r>
          </w:p>
          <w:p w:rsidR="00EF612F" w:rsidRDefault="00751E44" w:rsidP="00EF612F">
            <w:pPr>
              <w:pStyle w:val="Listenabsatz"/>
              <w:numPr>
                <w:ilvl w:val="0"/>
                <w:numId w:val="4"/>
              </w:numPr>
              <w:tabs>
                <w:tab w:val="left" w:pos="1672"/>
                <w:tab w:val="left" w:pos="1929"/>
              </w:tabs>
              <w:spacing w:line="240" w:lineRule="auto"/>
            </w:pPr>
            <w:r w:rsidRPr="00751E44">
              <w:t xml:space="preserve">Zertifizierungsstelle: </w:t>
            </w:r>
          </w:p>
          <w:p w:rsidR="00751E44" w:rsidRDefault="00751E44" w:rsidP="00EF612F">
            <w:pPr>
              <w:pStyle w:val="Listenabsatz"/>
              <w:numPr>
                <w:ilvl w:val="0"/>
                <w:numId w:val="4"/>
              </w:numPr>
              <w:tabs>
                <w:tab w:val="left" w:pos="1672"/>
                <w:tab w:val="left" w:pos="1929"/>
              </w:tabs>
              <w:spacing w:line="240" w:lineRule="auto"/>
            </w:pPr>
            <w:r w:rsidRPr="00751E44">
              <w:t>Sonstiges:</w:t>
            </w:r>
          </w:p>
        </w:tc>
      </w:tr>
    </w:tbl>
    <w:p w:rsidR="00751E44" w:rsidRDefault="00751E44" w:rsidP="00751E44">
      <w:pPr>
        <w:tabs>
          <w:tab w:val="left" w:pos="851"/>
        </w:tabs>
      </w:pPr>
    </w:p>
    <w:p w:rsidR="00751E44" w:rsidRPr="00D21DEF" w:rsidRDefault="00751E44" w:rsidP="00751E44">
      <w:pPr>
        <w:tabs>
          <w:tab w:val="left" w:pos="851"/>
        </w:tabs>
      </w:pPr>
    </w:p>
    <w:p w:rsidR="00751E44" w:rsidRDefault="00751E44" w:rsidP="00751E44">
      <w:pPr>
        <w:tabs>
          <w:tab w:val="left" w:pos="2552"/>
        </w:tabs>
      </w:pPr>
    </w:p>
    <w:p w:rsidR="00751E44" w:rsidRDefault="00751E44" w:rsidP="00751E44">
      <w:pPr>
        <w:tabs>
          <w:tab w:val="left" w:pos="3119"/>
        </w:tabs>
      </w:pPr>
      <w:r>
        <w:t xml:space="preserve">______________________ </w:t>
      </w:r>
      <w:r>
        <w:tab/>
        <w:t xml:space="preserve">______________________________ </w:t>
      </w:r>
    </w:p>
    <w:p w:rsidR="00751E44" w:rsidRDefault="009B2387" w:rsidP="00751E44">
      <w:pPr>
        <w:tabs>
          <w:tab w:val="left" w:pos="3119"/>
        </w:tabs>
      </w:pPr>
      <w:r>
        <w:t xml:space="preserve">Datum </w:t>
      </w:r>
      <w:r>
        <w:tab/>
        <w:t>Unterschrift</w:t>
      </w:r>
    </w:p>
    <w:p w:rsidR="009B2387" w:rsidRDefault="009B2387" w:rsidP="00751E44">
      <w:pPr>
        <w:tabs>
          <w:tab w:val="left" w:pos="3119"/>
        </w:tabs>
      </w:pPr>
    </w:p>
    <w:p w:rsidR="009B2387" w:rsidRPr="00E75F48" w:rsidRDefault="009B2387" w:rsidP="009B2387">
      <w:pPr>
        <w:spacing w:line="240" w:lineRule="exact"/>
        <w:rPr>
          <w:sz w:val="16"/>
        </w:rPr>
      </w:pPr>
    </w:p>
    <w:p w:rsidR="009B2387" w:rsidRPr="00D21DEF" w:rsidRDefault="009B2387" w:rsidP="00751E44">
      <w:pPr>
        <w:tabs>
          <w:tab w:val="left" w:pos="3119"/>
        </w:tabs>
      </w:pPr>
    </w:p>
    <w:sectPr w:rsidR="009B2387" w:rsidRPr="00D21DEF" w:rsidSect="00751E44">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8E8" w:rsidRDefault="00A938E8" w:rsidP="00842657">
      <w:pPr>
        <w:spacing w:line="240" w:lineRule="auto"/>
      </w:pPr>
      <w:r>
        <w:separator/>
      </w:r>
    </w:p>
  </w:endnote>
  <w:endnote w:type="continuationSeparator" w:id="0">
    <w:p w:rsidR="00A938E8" w:rsidRDefault="00A938E8" w:rsidP="008426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9951855"/>
      <w:docPartObj>
        <w:docPartGallery w:val="Page Numbers (Bottom of Page)"/>
        <w:docPartUnique/>
      </w:docPartObj>
    </w:sdtPr>
    <w:sdtEndPr/>
    <w:sdtContent>
      <w:p w:rsidR="00D21DEF" w:rsidRDefault="00D21DEF">
        <w:pPr>
          <w:pStyle w:val="Fuzeile"/>
        </w:pPr>
        <w:r>
          <w:fldChar w:fldCharType="begin"/>
        </w:r>
        <w:r>
          <w:instrText>PAGE   \* MERGEFORMAT</w:instrText>
        </w:r>
        <w:r>
          <w:fldChar w:fldCharType="separate"/>
        </w:r>
        <w:r w:rsidR="006F72D8">
          <w:rPr>
            <w:noProof/>
          </w:rPr>
          <w:t>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8E8" w:rsidRDefault="00A938E8" w:rsidP="00842657">
      <w:pPr>
        <w:spacing w:line="240" w:lineRule="auto"/>
      </w:pPr>
      <w:r>
        <w:separator/>
      </w:r>
    </w:p>
  </w:footnote>
  <w:footnote w:type="continuationSeparator" w:id="0">
    <w:p w:rsidR="00A938E8" w:rsidRDefault="00A938E8" w:rsidP="008426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657" w:rsidRDefault="00751E44">
    <w:pPr>
      <w:pStyle w:val="Kopfzeile"/>
    </w:pPr>
    <w:r>
      <w:t>Dokumentation technische und organisatorische Maßnahmen zur Datensicherheit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433A"/>
    <w:multiLevelType w:val="hybridMultilevel"/>
    <w:tmpl w:val="9FC4B7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E16780B"/>
    <w:multiLevelType w:val="hybridMultilevel"/>
    <w:tmpl w:val="FFF068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2570A5F"/>
    <w:multiLevelType w:val="hybridMultilevel"/>
    <w:tmpl w:val="314E0240"/>
    <w:lvl w:ilvl="0" w:tplc="B65C7B64">
      <w:start w:val="1"/>
      <w:numFmt w:val="bullet"/>
      <w:lvlText w:val=""/>
      <w:lvlJc w:val="left"/>
      <w:pPr>
        <w:ind w:left="720" w:hanging="360"/>
      </w:pPr>
      <w:rPr>
        <w:rFonts w:ascii="Symbol" w:hAnsi="Symbol"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A736D9"/>
    <w:multiLevelType w:val="hybridMultilevel"/>
    <w:tmpl w:val="B60C7B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657"/>
    <w:rsid w:val="000060D2"/>
    <w:rsid w:val="00151F38"/>
    <w:rsid w:val="001B09EA"/>
    <w:rsid w:val="001C5083"/>
    <w:rsid w:val="002931E4"/>
    <w:rsid w:val="00365625"/>
    <w:rsid w:val="0044651D"/>
    <w:rsid w:val="0046645F"/>
    <w:rsid w:val="00635E94"/>
    <w:rsid w:val="00674BEA"/>
    <w:rsid w:val="00677E98"/>
    <w:rsid w:val="00690824"/>
    <w:rsid w:val="006D149B"/>
    <w:rsid w:val="006F72D8"/>
    <w:rsid w:val="00751E44"/>
    <w:rsid w:val="00842657"/>
    <w:rsid w:val="0099044F"/>
    <w:rsid w:val="009B2387"/>
    <w:rsid w:val="00A938E8"/>
    <w:rsid w:val="00AD254C"/>
    <w:rsid w:val="00B41CE8"/>
    <w:rsid w:val="00BE563A"/>
    <w:rsid w:val="00BF3034"/>
    <w:rsid w:val="00D21DEF"/>
    <w:rsid w:val="00E8142D"/>
    <w:rsid w:val="00EF12AC"/>
    <w:rsid w:val="00EF612F"/>
    <w:rsid w:val="00F02D7B"/>
    <w:rsid w:val="00F02FAA"/>
    <w:rsid w:val="00FF5648"/>
    <w:rsid w:val="00FF66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1DD444"/>
  <w15:docId w15:val="{AC53F776-0E56-41D8-BBA5-305178F14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21DEF"/>
    <w:pPr>
      <w:spacing w:after="0"/>
    </w:pPr>
    <w:rPr>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42657"/>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842657"/>
  </w:style>
  <w:style w:type="paragraph" w:styleId="Fuzeile">
    <w:name w:val="footer"/>
    <w:basedOn w:val="Standard"/>
    <w:link w:val="FuzeileZchn"/>
    <w:uiPriority w:val="99"/>
    <w:unhideWhenUsed/>
    <w:rsid w:val="00842657"/>
    <w:pPr>
      <w:tabs>
        <w:tab w:val="center" w:pos="4536"/>
        <w:tab w:val="right" w:pos="9072"/>
      </w:tabs>
      <w:spacing w:line="240" w:lineRule="auto"/>
    </w:pPr>
  </w:style>
  <w:style w:type="character" w:customStyle="1" w:styleId="FuzeileZchn">
    <w:name w:val="Fußzeile Zchn"/>
    <w:basedOn w:val="Absatz-Standardschriftart"/>
    <w:link w:val="Fuzeile"/>
    <w:uiPriority w:val="99"/>
    <w:rsid w:val="00842657"/>
  </w:style>
  <w:style w:type="table" w:styleId="Tabellenraster">
    <w:name w:val="Table Grid"/>
    <w:basedOn w:val="NormaleTabelle"/>
    <w:uiPriority w:val="59"/>
    <w:rsid w:val="009904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6645F"/>
    <w:rPr>
      <w:color w:val="0000FF" w:themeColor="hyperlink"/>
      <w:u w:val="single"/>
    </w:rPr>
  </w:style>
  <w:style w:type="paragraph" w:styleId="Listenabsatz">
    <w:name w:val="List Paragraph"/>
    <w:basedOn w:val="Standard"/>
    <w:uiPriority w:val="34"/>
    <w:qFormat/>
    <w:rsid w:val="00EF612F"/>
    <w:pPr>
      <w:ind w:left="720"/>
      <w:contextualSpacing/>
    </w:pPr>
  </w:style>
  <w:style w:type="paragraph" w:styleId="Sprechblasentext">
    <w:name w:val="Balloon Text"/>
    <w:basedOn w:val="Standard"/>
    <w:link w:val="SprechblasentextZchn"/>
    <w:uiPriority w:val="99"/>
    <w:semiHidden/>
    <w:unhideWhenUsed/>
    <w:rsid w:val="00B41CE8"/>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41C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292</Words>
  <Characters>1843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R.Reiter</dc:creator>
  <cp:lastModifiedBy>Astrid</cp:lastModifiedBy>
  <cp:revision>2</cp:revision>
  <cp:lastPrinted>2018-05-31T09:29:00Z</cp:lastPrinted>
  <dcterms:created xsi:type="dcterms:W3CDTF">2018-05-31T09:29:00Z</dcterms:created>
  <dcterms:modified xsi:type="dcterms:W3CDTF">2018-05-31T09:29:00Z</dcterms:modified>
</cp:coreProperties>
</file>